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93FEF">
      <w:pPr>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附件1：</w:t>
      </w:r>
    </w:p>
    <w:p w14:paraId="3E9CA1A4">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left"/>
        <w:textAlignment w:val="auto"/>
        <w:rPr>
          <w:rStyle w:val="10"/>
          <w:rFonts w:hint="eastAsia" w:ascii="宋体" w:hAnsi="宋体" w:eastAsia="宋体" w:cs="宋体"/>
          <w:kern w:val="0"/>
          <w:sz w:val="21"/>
          <w:szCs w:val="21"/>
          <w:lang w:val="en-US" w:eastAsia="zh-CN" w:bidi="ar"/>
        </w:rPr>
      </w:pPr>
    </w:p>
    <w:p w14:paraId="55F32010">
      <w:pPr>
        <w:jc w:val="center"/>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韶关市医疗保险第三方支付评审服务项目（2026—2028年）</w:t>
      </w:r>
      <w:r>
        <w:rPr>
          <w:rFonts w:hint="eastAsia" w:ascii="黑体" w:hAnsi="黑体" w:eastAsia="黑体" w:cs="黑体"/>
          <w:b w:val="0"/>
          <w:bCs w:val="0"/>
          <w:color w:val="auto"/>
          <w:sz w:val="36"/>
          <w:szCs w:val="36"/>
          <w:lang w:val="en-US" w:eastAsia="zh-CN"/>
        </w:rPr>
        <w:t>采购需求</w:t>
      </w:r>
    </w:p>
    <w:p w14:paraId="7F3BC170">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left"/>
        <w:textAlignment w:val="auto"/>
        <w:rPr>
          <w:rStyle w:val="10"/>
          <w:rFonts w:hint="eastAsia" w:ascii="宋体" w:hAnsi="宋体" w:eastAsia="宋体" w:cs="宋体"/>
          <w:kern w:val="0"/>
          <w:sz w:val="20"/>
          <w:szCs w:val="20"/>
          <w:lang w:val="en-US" w:eastAsia="zh-CN" w:bidi="ar"/>
        </w:rPr>
      </w:pPr>
    </w:p>
    <w:p w14:paraId="410AA235">
      <w:pPr>
        <w:keepNext w:val="0"/>
        <w:keepLines w:val="0"/>
        <w:pageBreakBefore w:val="0"/>
        <w:widowControl w:val="0"/>
        <w:suppressLineNumbers w:val="0"/>
        <w:shd w:val="clear"/>
        <w:kinsoku/>
        <w:overflowPunct/>
        <w:topLinePunct w:val="0"/>
        <w:autoSpaceDE/>
        <w:autoSpaceDN/>
        <w:bidi w:val="0"/>
        <w:adjustRightInd w:val="0"/>
        <w:snapToGrid w:val="0"/>
        <w:spacing w:line="500" w:lineRule="exact"/>
        <w:ind w:firstLine="480" w:firstLineChars="200"/>
        <w:jc w:val="both"/>
        <w:textAlignment w:val="auto"/>
        <w:rPr>
          <w:rFonts w:hint="eastAsia" w:ascii="黑体" w:hAnsi="黑体" w:eastAsia="黑体" w:cs="黑体"/>
          <w:color w:val="000000"/>
          <w:kern w:val="0"/>
          <w:sz w:val="24"/>
          <w:szCs w:val="24"/>
          <w:lang w:bidi="ar"/>
        </w:rPr>
      </w:pPr>
      <w:r>
        <w:rPr>
          <w:rFonts w:hint="eastAsia" w:ascii="黑体" w:hAnsi="黑体" w:eastAsia="黑体" w:cs="黑体"/>
          <w:color w:val="000000"/>
          <w:kern w:val="0"/>
          <w:sz w:val="24"/>
          <w:szCs w:val="24"/>
          <w:lang w:val="en-US" w:eastAsia="zh-CN" w:bidi="ar"/>
        </w:rPr>
        <w:t>一、项目概况</w:t>
      </w:r>
    </w:p>
    <w:p w14:paraId="3D8E175B">
      <w:pPr>
        <w:keepNext w:val="0"/>
        <w:keepLines w:val="0"/>
        <w:pageBreakBefore w:val="0"/>
        <w:widowControl w:val="0"/>
        <w:suppressLineNumbers w:val="0"/>
        <w:shd w:val="clear"/>
        <w:kinsoku/>
        <w:wordWrap/>
        <w:overflowPunct/>
        <w:topLinePunct w:val="0"/>
        <w:autoSpaceDE/>
        <w:autoSpaceDN/>
        <w:bidi w:val="0"/>
        <w:adjustRightInd w:val="0"/>
        <w:snapToGrid w:val="0"/>
        <w:spacing w:line="500" w:lineRule="exact"/>
        <w:ind w:firstLine="480" w:firstLineChars="200"/>
        <w:jc w:val="both"/>
        <w:textAlignment w:val="auto"/>
        <w:rPr>
          <w:rFonts w:hint="eastAsia" w:asciiTheme="majorEastAsia" w:hAnsiTheme="majorEastAsia" w:eastAsiaTheme="majorEastAsia" w:cstheme="majorEastAsia"/>
          <w:i w:val="0"/>
          <w:iCs w:val="0"/>
          <w:caps w:val="0"/>
          <w:color w:val="000000"/>
          <w:spacing w:val="0"/>
          <w:kern w:val="0"/>
          <w:sz w:val="24"/>
          <w:szCs w:val="24"/>
          <w:shd w:val="clear"/>
          <w:lang w:bidi="ar"/>
        </w:rPr>
      </w:pPr>
      <w:r>
        <w:rPr>
          <w:rFonts w:hint="eastAsia" w:asciiTheme="majorEastAsia" w:hAnsiTheme="majorEastAsia" w:eastAsiaTheme="majorEastAsia" w:cstheme="majorEastAsia"/>
          <w:i w:val="0"/>
          <w:iCs w:val="0"/>
          <w:caps w:val="0"/>
          <w:color w:val="000000"/>
          <w:spacing w:val="0"/>
          <w:kern w:val="0"/>
          <w:sz w:val="24"/>
          <w:szCs w:val="24"/>
          <w:shd w:val="clear"/>
          <w:lang w:bidi="ar"/>
        </w:rPr>
        <w:t>1.项目背景</w:t>
      </w:r>
    </w:p>
    <w:p w14:paraId="5897288D">
      <w:pPr>
        <w:keepNext w:val="0"/>
        <w:keepLines w:val="0"/>
        <w:pageBreakBefore w:val="0"/>
        <w:widowControl w:val="0"/>
        <w:suppressLineNumbers w:val="0"/>
        <w:shd w:val="clear"/>
        <w:kinsoku/>
        <w:wordWrap/>
        <w:overflowPunct/>
        <w:topLinePunct w:val="0"/>
        <w:autoSpaceDE/>
        <w:autoSpaceDN/>
        <w:bidi w:val="0"/>
        <w:adjustRightInd w:val="0"/>
        <w:snapToGrid w:val="0"/>
        <w:spacing w:line="500" w:lineRule="exact"/>
        <w:ind w:firstLine="480" w:firstLineChars="200"/>
        <w:jc w:val="both"/>
        <w:textAlignment w:val="auto"/>
        <w:rPr>
          <w:rFonts w:hint="eastAsia" w:asciiTheme="majorEastAsia" w:hAnsiTheme="majorEastAsia" w:eastAsiaTheme="majorEastAsia" w:cstheme="majorEastAsia"/>
          <w:i w:val="0"/>
          <w:iCs w:val="0"/>
          <w:caps w:val="0"/>
          <w:color w:val="000000"/>
          <w:spacing w:val="0"/>
          <w:kern w:val="0"/>
          <w:sz w:val="24"/>
          <w:szCs w:val="24"/>
          <w:shd w:val="clear"/>
          <w:lang w:bidi="ar"/>
        </w:rPr>
      </w:pPr>
      <w:r>
        <w:rPr>
          <w:rFonts w:hint="eastAsia" w:asciiTheme="majorEastAsia" w:hAnsiTheme="majorEastAsia" w:eastAsiaTheme="majorEastAsia" w:cstheme="majorEastAsia"/>
          <w:i w:val="0"/>
          <w:iCs w:val="0"/>
          <w:caps w:val="0"/>
          <w:color w:val="000000"/>
          <w:spacing w:val="0"/>
          <w:kern w:val="0"/>
          <w:sz w:val="24"/>
          <w:szCs w:val="24"/>
          <w:shd w:val="clear"/>
          <w:lang w:bidi="ar"/>
        </w:rPr>
        <w:t>根据《中共中央国务院关于深化医疗保障制度改革的意见</w:t>
      </w:r>
      <w:r>
        <w:rPr>
          <w:rFonts w:hint="eastAsia" w:asciiTheme="majorEastAsia" w:hAnsiTheme="majorEastAsia" w:eastAsiaTheme="majorEastAsia" w:cstheme="majorEastAsia"/>
          <w:i w:val="0"/>
          <w:iCs w:val="0"/>
          <w:caps w:val="0"/>
          <w:color w:val="000000"/>
          <w:spacing w:val="0"/>
          <w:kern w:val="0"/>
          <w:sz w:val="24"/>
          <w:szCs w:val="24"/>
          <w:shd w:val="clear"/>
          <w:lang w:eastAsia="zh-CN" w:bidi="ar"/>
        </w:rPr>
        <w:t>》、《</w:t>
      </w:r>
      <w:r>
        <w:rPr>
          <w:rFonts w:hint="eastAsia" w:asciiTheme="majorEastAsia" w:hAnsiTheme="majorEastAsia" w:eastAsiaTheme="majorEastAsia" w:cstheme="majorEastAsia"/>
          <w:i w:val="0"/>
          <w:iCs w:val="0"/>
          <w:caps w:val="0"/>
          <w:color w:val="000000"/>
          <w:spacing w:val="0"/>
          <w:kern w:val="0"/>
          <w:sz w:val="24"/>
          <w:szCs w:val="24"/>
          <w:shd w:val="clear"/>
          <w:lang w:bidi="ar"/>
        </w:rPr>
        <w:t>医疗保障基金使用监督管理条例》（国务院令第735号）、《国务院办公厅关于推进医疗保障基金监管制度体系改革的指导意见》（国办发〔2020〕20号）、《国务院办公厅关于加强医疗保障基金使用常态化监管的实施意见》（国办发〔2023〕17号）、《关于进一步深入推进医疗保障基金智能审核和监控工作的通知》（医保发〔2023〕25号）等文件要求，我局拟引入社会力量，将医疗费用的审核工作委托给专业第三方服务机构，引导第三方依法依规参与监管工作，通过信息化手段和专业服务团队，对定点医疗机构诊疗行为和费用开展全程监控和审核，有效控制医疗费用的不合理增长，提升监管的专业性、精准性、效益性。防范基金欺诈风险，维护基金管理工作稳定、高效运行，进一步保障医保基金安全。</w:t>
      </w:r>
    </w:p>
    <w:p w14:paraId="75BA37B2">
      <w:pPr>
        <w:keepNext w:val="0"/>
        <w:keepLines w:val="0"/>
        <w:pageBreakBefore w:val="0"/>
        <w:widowControl w:val="0"/>
        <w:suppressLineNumbers w:val="0"/>
        <w:shd w:val="clear"/>
        <w:kinsoku/>
        <w:wordWrap/>
        <w:overflowPunct/>
        <w:topLinePunct w:val="0"/>
        <w:autoSpaceDE/>
        <w:autoSpaceDN/>
        <w:bidi w:val="0"/>
        <w:adjustRightInd w:val="0"/>
        <w:snapToGrid w:val="0"/>
        <w:spacing w:line="500" w:lineRule="exact"/>
        <w:ind w:firstLine="480" w:firstLineChars="200"/>
        <w:jc w:val="both"/>
        <w:textAlignment w:val="auto"/>
        <w:rPr>
          <w:rFonts w:hint="eastAsia" w:asciiTheme="majorEastAsia" w:hAnsiTheme="majorEastAsia" w:eastAsiaTheme="majorEastAsia" w:cstheme="majorEastAsia"/>
          <w:i w:val="0"/>
          <w:iCs w:val="0"/>
          <w:caps w:val="0"/>
          <w:color w:val="000000"/>
          <w:spacing w:val="0"/>
          <w:kern w:val="0"/>
          <w:sz w:val="24"/>
          <w:szCs w:val="24"/>
          <w:shd w:val="clear"/>
          <w:lang w:bidi="ar"/>
        </w:rPr>
      </w:pPr>
      <w:r>
        <w:rPr>
          <w:rFonts w:hint="eastAsia" w:asciiTheme="majorEastAsia" w:hAnsiTheme="majorEastAsia" w:eastAsiaTheme="majorEastAsia" w:cstheme="majorEastAsia"/>
          <w:i w:val="0"/>
          <w:iCs w:val="0"/>
          <w:caps w:val="0"/>
          <w:color w:val="000000"/>
          <w:spacing w:val="0"/>
          <w:kern w:val="0"/>
          <w:sz w:val="24"/>
          <w:szCs w:val="24"/>
          <w:shd w:val="clear"/>
          <w:lang w:bidi="ar"/>
        </w:rPr>
        <w:t>2.工作目标</w:t>
      </w:r>
    </w:p>
    <w:p w14:paraId="2B36E563">
      <w:pPr>
        <w:keepNext w:val="0"/>
        <w:keepLines w:val="0"/>
        <w:pageBreakBefore w:val="0"/>
        <w:widowControl w:val="0"/>
        <w:suppressLineNumbers w:val="0"/>
        <w:shd w:val="clear"/>
        <w:kinsoku/>
        <w:wordWrap/>
        <w:overflowPunct/>
        <w:topLinePunct w:val="0"/>
        <w:autoSpaceDE/>
        <w:autoSpaceDN/>
        <w:bidi w:val="0"/>
        <w:adjustRightInd w:val="0"/>
        <w:snapToGrid w:val="0"/>
        <w:spacing w:line="500" w:lineRule="exact"/>
        <w:ind w:firstLine="480" w:firstLineChars="200"/>
        <w:jc w:val="both"/>
        <w:textAlignment w:val="auto"/>
        <w:rPr>
          <w:rFonts w:hint="eastAsia" w:asciiTheme="majorEastAsia" w:hAnsiTheme="majorEastAsia" w:eastAsiaTheme="majorEastAsia" w:cstheme="majorEastAsia"/>
          <w:i w:val="0"/>
          <w:iCs w:val="0"/>
          <w:caps w:val="0"/>
          <w:color w:val="000000"/>
          <w:spacing w:val="0"/>
          <w:kern w:val="0"/>
          <w:sz w:val="24"/>
          <w:szCs w:val="24"/>
          <w:shd w:val="clear"/>
          <w:lang w:bidi="ar"/>
        </w:rPr>
      </w:pPr>
      <w:r>
        <w:rPr>
          <w:rFonts w:hint="eastAsia" w:asciiTheme="majorEastAsia" w:hAnsiTheme="majorEastAsia" w:eastAsiaTheme="majorEastAsia" w:cstheme="majorEastAsia"/>
          <w:i w:val="0"/>
          <w:iCs w:val="0"/>
          <w:caps w:val="0"/>
          <w:color w:val="000000"/>
          <w:spacing w:val="0"/>
          <w:kern w:val="0"/>
          <w:sz w:val="24"/>
          <w:szCs w:val="24"/>
          <w:shd w:val="clear"/>
          <w:lang w:bidi="ar"/>
        </w:rPr>
        <w:t>（1）健全医疗保险智能监管机制。通过引入医疗保险第三方支付评审服务，健全和完善我市医疗保险智能审核制度，完善事前提醒、事中审核、事后监管功能，优化“两库”设置，运用大数据智能监测分析，精准发现医保违规数据，为医保主管部门及经办机构进行医保基金监管工作提供技术支撑，提升医保基金监管效率。</w:t>
      </w:r>
    </w:p>
    <w:p w14:paraId="6396BF2E">
      <w:pPr>
        <w:keepNext w:val="0"/>
        <w:keepLines w:val="0"/>
        <w:pageBreakBefore w:val="0"/>
        <w:widowControl w:val="0"/>
        <w:suppressLineNumbers w:val="0"/>
        <w:shd w:val="clear"/>
        <w:kinsoku/>
        <w:wordWrap/>
        <w:overflowPunct/>
        <w:topLinePunct w:val="0"/>
        <w:autoSpaceDE/>
        <w:autoSpaceDN/>
        <w:bidi w:val="0"/>
        <w:adjustRightInd w:val="0"/>
        <w:snapToGrid w:val="0"/>
        <w:spacing w:line="500" w:lineRule="exact"/>
        <w:ind w:firstLine="480" w:firstLineChars="200"/>
        <w:jc w:val="both"/>
        <w:textAlignment w:val="auto"/>
        <w:rPr>
          <w:rFonts w:hint="eastAsia" w:asciiTheme="majorEastAsia" w:hAnsiTheme="majorEastAsia" w:eastAsiaTheme="majorEastAsia" w:cstheme="majorEastAsia"/>
          <w:i w:val="0"/>
          <w:iCs w:val="0"/>
          <w:caps w:val="0"/>
          <w:color w:val="000000"/>
          <w:spacing w:val="0"/>
          <w:kern w:val="0"/>
          <w:sz w:val="24"/>
          <w:szCs w:val="24"/>
          <w:shd w:val="clear"/>
          <w:lang w:bidi="ar"/>
        </w:rPr>
      </w:pPr>
      <w:r>
        <w:rPr>
          <w:rFonts w:hint="eastAsia" w:asciiTheme="majorEastAsia" w:hAnsiTheme="majorEastAsia" w:eastAsiaTheme="majorEastAsia" w:cstheme="majorEastAsia"/>
          <w:i w:val="0"/>
          <w:iCs w:val="0"/>
          <w:caps w:val="0"/>
          <w:color w:val="000000"/>
          <w:spacing w:val="0"/>
          <w:kern w:val="0"/>
          <w:sz w:val="24"/>
          <w:szCs w:val="24"/>
          <w:shd w:val="clear"/>
          <w:lang w:bidi="ar"/>
        </w:rPr>
        <w:t>（2）医疗保险审核规范。规范医保费用初审、复审、终审三级审核流程，实施定点医药机构全量医保结算单据全覆盖审核，确保准确无误。</w:t>
      </w:r>
    </w:p>
    <w:p w14:paraId="080EFFB5">
      <w:pPr>
        <w:keepNext w:val="0"/>
        <w:keepLines w:val="0"/>
        <w:pageBreakBefore w:val="0"/>
        <w:widowControl w:val="0"/>
        <w:suppressLineNumbers w:val="0"/>
        <w:shd w:val="clear"/>
        <w:kinsoku/>
        <w:wordWrap/>
        <w:overflowPunct/>
        <w:topLinePunct w:val="0"/>
        <w:autoSpaceDE/>
        <w:autoSpaceDN/>
        <w:bidi w:val="0"/>
        <w:adjustRightInd w:val="0"/>
        <w:snapToGrid w:val="0"/>
        <w:spacing w:line="500" w:lineRule="exact"/>
        <w:ind w:firstLine="480" w:firstLineChars="200"/>
        <w:jc w:val="both"/>
        <w:textAlignment w:val="auto"/>
        <w:rPr>
          <w:rFonts w:hint="eastAsia" w:asciiTheme="majorEastAsia" w:hAnsiTheme="majorEastAsia" w:eastAsiaTheme="majorEastAsia" w:cstheme="majorEastAsia"/>
          <w:i w:val="0"/>
          <w:iCs w:val="0"/>
          <w:caps w:val="0"/>
          <w:color w:val="000000"/>
          <w:spacing w:val="0"/>
          <w:kern w:val="0"/>
          <w:sz w:val="24"/>
          <w:szCs w:val="24"/>
          <w:u w:val="none"/>
          <w:shd w:val="clear"/>
          <w:lang w:val="en-US" w:eastAsia="zh-CN" w:bidi="ar"/>
        </w:rPr>
      </w:pPr>
      <w:r>
        <w:rPr>
          <w:rFonts w:hint="eastAsia" w:asciiTheme="majorEastAsia" w:hAnsiTheme="majorEastAsia" w:eastAsiaTheme="majorEastAsia" w:cstheme="majorEastAsia"/>
          <w:i w:val="0"/>
          <w:iCs w:val="0"/>
          <w:caps w:val="0"/>
          <w:color w:val="000000"/>
          <w:spacing w:val="0"/>
          <w:kern w:val="0"/>
          <w:sz w:val="24"/>
          <w:szCs w:val="24"/>
          <w:shd w:val="clear"/>
          <w:lang w:bidi="ar"/>
        </w:rPr>
        <w:t>（3）医保政策更公平、合理。通过第三方专业测算服务，为完善医保相关政策、健全医保支付机制提供数据支撑，促进医保基金精细化管理，确保医保基金运行安全、可持续</w:t>
      </w:r>
      <w:r>
        <w:rPr>
          <w:rFonts w:hint="eastAsia" w:asciiTheme="majorEastAsia" w:hAnsiTheme="majorEastAsia" w:eastAsiaTheme="majorEastAsia" w:cstheme="majorEastAsia"/>
          <w:i w:val="0"/>
          <w:iCs w:val="0"/>
          <w:caps w:val="0"/>
          <w:color w:val="000000"/>
          <w:spacing w:val="0"/>
          <w:kern w:val="0"/>
          <w:sz w:val="24"/>
          <w:szCs w:val="24"/>
          <w:shd w:val="clear"/>
          <w:lang w:eastAsia="zh-CN" w:bidi="ar"/>
        </w:rPr>
        <w:t>，</w:t>
      </w:r>
      <w:r>
        <w:rPr>
          <w:rFonts w:hint="eastAsia" w:asciiTheme="majorEastAsia" w:hAnsiTheme="majorEastAsia" w:eastAsiaTheme="majorEastAsia" w:cstheme="majorEastAsia"/>
          <w:i w:val="0"/>
          <w:iCs w:val="0"/>
          <w:caps w:val="0"/>
          <w:color w:val="000000"/>
          <w:spacing w:val="0"/>
          <w:kern w:val="0"/>
          <w:sz w:val="24"/>
          <w:szCs w:val="24"/>
          <w:shd w:val="clear"/>
          <w:lang w:val="en-US" w:eastAsia="zh-CN" w:bidi="ar"/>
        </w:rPr>
        <w:t>提高</w:t>
      </w:r>
      <w:r>
        <w:rPr>
          <w:rFonts w:hint="eastAsia" w:asciiTheme="majorEastAsia" w:hAnsiTheme="majorEastAsia" w:eastAsiaTheme="majorEastAsia" w:cstheme="majorEastAsia"/>
          <w:i w:val="0"/>
          <w:iCs w:val="0"/>
          <w:caps w:val="0"/>
          <w:color w:val="000000"/>
          <w:spacing w:val="0"/>
          <w:kern w:val="0"/>
          <w:sz w:val="24"/>
          <w:szCs w:val="24"/>
          <w:u w:val="none"/>
          <w:shd w:val="clear"/>
          <w:lang w:bidi="ar"/>
        </w:rPr>
        <w:t>药品医用耗材采购以及医疗服务价格项目管理科学</w:t>
      </w:r>
      <w:r>
        <w:rPr>
          <w:rFonts w:hint="eastAsia" w:asciiTheme="majorEastAsia" w:hAnsiTheme="majorEastAsia" w:eastAsiaTheme="majorEastAsia" w:cstheme="majorEastAsia"/>
          <w:i w:val="0"/>
          <w:iCs w:val="0"/>
          <w:caps w:val="0"/>
          <w:color w:val="000000"/>
          <w:spacing w:val="0"/>
          <w:kern w:val="0"/>
          <w:sz w:val="24"/>
          <w:szCs w:val="24"/>
          <w:u w:val="none"/>
          <w:shd w:val="clear"/>
          <w:lang w:val="en-US" w:eastAsia="zh-CN" w:bidi="ar"/>
        </w:rPr>
        <w:t>性</w:t>
      </w:r>
      <w:r>
        <w:rPr>
          <w:rFonts w:hint="eastAsia" w:asciiTheme="majorEastAsia" w:hAnsiTheme="majorEastAsia" w:eastAsiaTheme="majorEastAsia" w:cstheme="majorEastAsia"/>
          <w:i w:val="0"/>
          <w:iCs w:val="0"/>
          <w:caps w:val="0"/>
          <w:color w:val="000000"/>
          <w:spacing w:val="0"/>
          <w:kern w:val="0"/>
          <w:sz w:val="24"/>
          <w:szCs w:val="24"/>
          <w:u w:val="none"/>
          <w:shd w:val="clear"/>
          <w:lang w:bidi="ar"/>
        </w:rPr>
        <w:t>。</w:t>
      </w:r>
    </w:p>
    <w:p w14:paraId="114E7189">
      <w:pPr>
        <w:keepNext w:val="0"/>
        <w:keepLines w:val="0"/>
        <w:pageBreakBefore w:val="0"/>
        <w:widowControl/>
        <w:suppressLineNumbers w:val="0"/>
        <w:shd w:val="clear"/>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i w:val="0"/>
          <w:iCs w:val="0"/>
          <w:caps w:val="0"/>
          <w:color w:val="auto"/>
          <w:spacing w:val="23"/>
          <w:kern w:val="0"/>
          <w:sz w:val="28"/>
          <w:szCs w:val="28"/>
          <w:shd w:val="clear" w:color="auto" w:fill="auto"/>
          <w:lang w:val="en-US" w:eastAsia="zh-CN" w:bidi="ar"/>
        </w:rPr>
      </w:pPr>
    </w:p>
    <w:p w14:paraId="5747A0C9">
      <w:pPr>
        <w:keepNext w:val="0"/>
        <w:keepLines w:val="0"/>
        <w:pageBreakBefore w:val="0"/>
        <w:widowControl/>
        <w:suppressLineNumbers w:val="0"/>
        <w:shd w:val="clear"/>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i w:val="0"/>
          <w:iCs w:val="0"/>
          <w:caps w:val="0"/>
          <w:color w:val="auto"/>
          <w:spacing w:val="23"/>
          <w:kern w:val="0"/>
          <w:sz w:val="28"/>
          <w:szCs w:val="28"/>
          <w:shd w:val="clear" w:color="auto" w:fill="auto"/>
          <w:lang w:val="en-US" w:eastAsia="zh-CN" w:bidi="ar"/>
        </w:rPr>
      </w:pPr>
    </w:p>
    <w:p w14:paraId="51730899">
      <w:pPr>
        <w:keepNext w:val="0"/>
        <w:keepLines w:val="0"/>
        <w:pageBreakBefore w:val="0"/>
        <w:widowControl/>
        <w:numPr>
          <w:ilvl w:val="0"/>
          <w:numId w:val="0"/>
        </w:numPr>
        <w:suppressLineNumbers w:val="0"/>
        <w:shd w:val="clear"/>
        <w:kinsoku/>
        <w:wordWrap/>
        <w:overflowPunct/>
        <w:topLinePunct w:val="0"/>
        <w:autoSpaceDE/>
        <w:autoSpaceDN/>
        <w:bidi w:val="0"/>
        <w:adjustRightInd/>
        <w:snapToGrid w:val="0"/>
        <w:spacing w:after="157" w:afterLines="50" w:line="520" w:lineRule="exact"/>
        <w:jc w:val="left"/>
        <w:textAlignment w:val="auto"/>
        <w:rPr>
          <w:rFonts w:hint="eastAsia" w:ascii="宋体" w:hAnsi="宋体" w:eastAsia="宋体" w:cs="宋体"/>
          <w:b/>
          <w:bCs/>
          <w:color w:val="auto"/>
          <w:spacing w:val="0"/>
          <w:kern w:val="0"/>
          <w:sz w:val="24"/>
          <w:szCs w:val="24"/>
        </w:rPr>
      </w:pPr>
      <w:r>
        <w:rPr>
          <w:rFonts w:hint="eastAsia" w:ascii="宋体" w:hAnsi="宋体" w:eastAsia="宋体" w:cs="宋体"/>
          <w:b/>
          <w:bCs/>
          <w:i w:val="0"/>
          <w:iCs w:val="0"/>
          <w:caps w:val="0"/>
          <w:color w:val="auto"/>
          <w:spacing w:val="0"/>
          <w:kern w:val="0"/>
          <w:sz w:val="28"/>
          <w:szCs w:val="28"/>
          <w:shd w:val="clear" w:fill="auto"/>
          <w:lang w:val="en-US" w:eastAsia="zh-CN" w:bidi="ar"/>
        </w:rPr>
        <w:t>二、</w:t>
      </w:r>
      <w:r>
        <w:rPr>
          <w:rFonts w:hint="eastAsia" w:ascii="宋体" w:hAnsi="宋体" w:eastAsia="宋体" w:cs="宋体"/>
          <w:b/>
          <w:bCs/>
          <w:i w:val="0"/>
          <w:iCs w:val="0"/>
          <w:caps w:val="0"/>
          <w:color w:val="auto"/>
          <w:spacing w:val="0"/>
          <w:kern w:val="0"/>
          <w:sz w:val="28"/>
          <w:szCs w:val="28"/>
          <w:shd w:val="clear" w:color="auto" w:fill="auto"/>
          <w:lang w:val="en-US" w:eastAsia="zh-CN" w:bidi="ar"/>
        </w:rPr>
        <w:t>技术要求</w:t>
      </w:r>
    </w:p>
    <w:tbl>
      <w:tblPr>
        <w:tblStyle w:val="8"/>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5"/>
        <w:gridCol w:w="1382"/>
        <w:gridCol w:w="3417"/>
        <w:gridCol w:w="728"/>
        <w:gridCol w:w="730"/>
        <w:gridCol w:w="1196"/>
        <w:gridCol w:w="1265"/>
      </w:tblGrid>
      <w:tr w14:paraId="25637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0" w:hRule="atLeast"/>
        </w:trPr>
        <w:tc>
          <w:tcPr>
            <w:tcW w:w="413" w:type="pct"/>
            <w:vAlign w:val="center"/>
          </w:tcPr>
          <w:p w14:paraId="2F92773C">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lang w:val="en-US" w:eastAsia="zh-Hans"/>
              </w:rPr>
            </w:pPr>
            <w:r>
              <w:rPr>
                <w:rFonts w:hint="eastAsia" w:ascii="宋体" w:hAnsi="宋体" w:eastAsia="宋体" w:cs="宋体"/>
                <w:b/>
                <w:bCs/>
                <w:color w:val="auto"/>
                <w:sz w:val="24"/>
                <w:szCs w:val="24"/>
                <w:lang w:val="en-US" w:eastAsia="zh-Hans"/>
              </w:rPr>
              <w:t>序号</w:t>
            </w:r>
          </w:p>
        </w:tc>
        <w:tc>
          <w:tcPr>
            <w:tcW w:w="727" w:type="pct"/>
            <w:vAlign w:val="center"/>
          </w:tcPr>
          <w:p w14:paraId="712CE52F">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lang w:val="en-US" w:eastAsia="zh-Hans"/>
              </w:rPr>
            </w:pPr>
            <w:r>
              <w:rPr>
                <w:rFonts w:hint="eastAsia" w:ascii="宋体" w:hAnsi="宋体" w:eastAsia="宋体" w:cs="宋体"/>
                <w:b/>
                <w:bCs/>
                <w:color w:val="auto"/>
                <w:sz w:val="24"/>
                <w:szCs w:val="24"/>
                <w:lang w:val="en-US" w:eastAsia="zh-Hans"/>
              </w:rPr>
              <w:t>品目名称</w:t>
            </w:r>
          </w:p>
        </w:tc>
        <w:tc>
          <w:tcPr>
            <w:tcW w:w="1797" w:type="pct"/>
            <w:vAlign w:val="center"/>
          </w:tcPr>
          <w:p w14:paraId="7BA5F4C5">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lang w:val="en-US" w:eastAsia="zh-Hans"/>
              </w:rPr>
            </w:pPr>
            <w:r>
              <w:rPr>
                <w:rFonts w:hint="eastAsia" w:ascii="宋体" w:hAnsi="宋体" w:eastAsia="宋体" w:cs="宋体"/>
                <w:b/>
                <w:bCs/>
                <w:color w:val="auto"/>
                <w:sz w:val="24"/>
                <w:szCs w:val="24"/>
                <w:lang w:val="en-US" w:eastAsia="zh-Hans"/>
              </w:rPr>
              <w:t>标的名称</w:t>
            </w:r>
          </w:p>
        </w:tc>
        <w:tc>
          <w:tcPr>
            <w:tcW w:w="383" w:type="pct"/>
            <w:vAlign w:val="center"/>
          </w:tcPr>
          <w:p w14:paraId="2B2C89E3">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lang w:val="en-US" w:eastAsia="zh-Hans"/>
              </w:rPr>
            </w:pPr>
            <w:r>
              <w:rPr>
                <w:rFonts w:hint="eastAsia" w:ascii="宋体" w:hAnsi="宋体" w:eastAsia="宋体" w:cs="宋体"/>
                <w:b/>
                <w:bCs/>
                <w:color w:val="auto"/>
                <w:sz w:val="24"/>
                <w:szCs w:val="24"/>
                <w:lang w:val="en-US" w:eastAsia="zh-Hans"/>
              </w:rPr>
              <w:t>单位</w:t>
            </w:r>
          </w:p>
        </w:tc>
        <w:tc>
          <w:tcPr>
            <w:tcW w:w="384" w:type="pct"/>
            <w:vAlign w:val="center"/>
          </w:tcPr>
          <w:p w14:paraId="033FAE57">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lang w:val="en-US" w:eastAsia="zh-Hans"/>
              </w:rPr>
            </w:pPr>
            <w:r>
              <w:rPr>
                <w:rFonts w:hint="eastAsia" w:ascii="宋体" w:hAnsi="宋体" w:eastAsia="宋体" w:cs="宋体"/>
                <w:b/>
                <w:bCs/>
                <w:color w:val="auto"/>
                <w:sz w:val="24"/>
                <w:szCs w:val="24"/>
                <w:lang w:val="en-US" w:eastAsia="zh-Hans"/>
              </w:rPr>
              <w:t>数量</w:t>
            </w:r>
          </w:p>
        </w:tc>
        <w:tc>
          <w:tcPr>
            <w:tcW w:w="629" w:type="pct"/>
            <w:vAlign w:val="center"/>
          </w:tcPr>
          <w:p w14:paraId="6FA37627">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lang w:val="en-US" w:eastAsia="zh-Hans"/>
              </w:rPr>
            </w:pPr>
            <w:r>
              <w:rPr>
                <w:rFonts w:hint="eastAsia" w:ascii="宋体" w:hAnsi="宋体" w:eastAsia="宋体" w:cs="宋体"/>
                <w:b/>
                <w:bCs/>
                <w:color w:val="auto"/>
                <w:sz w:val="24"/>
                <w:szCs w:val="24"/>
                <w:lang w:val="en-US" w:eastAsia="zh-Hans"/>
              </w:rPr>
              <w:t>所属行业</w:t>
            </w:r>
          </w:p>
        </w:tc>
        <w:tc>
          <w:tcPr>
            <w:tcW w:w="665" w:type="pct"/>
            <w:vAlign w:val="center"/>
          </w:tcPr>
          <w:p w14:paraId="53D45C31">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lang w:val="en-US" w:eastAsia="zh-Hans"/>
              </w:rPr>
            </w:pPr>
            <w:r>
              <w:rPr>
                <w:rFonts w:hint="eastAsia" w:ascii="宋体" w:hAnsi="宋体" w:eastAsia="宋体" w:cs="宋体"/>
                <w:b/>
                <w:bCs/>
                <w:color w:val="auto"/>
                <w:sz w:val="24"/>
                <w:szCs w:val="24"/>
                <w:lang w:val="en-US" w:eastAsia="zh-Hans"/>
              </w:rPr>
              <w:t>技术要求</w:t>
            </w:r>
          </w:p>
        </w:tc>
      </w:tr>
      <w:tr w14:paraId="3882E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55" w:hRule="atLeast"/>
        </w:trPr>
        <w:tc>
          <w:tcPr>
            <w:tcW w:w="413" w:type="pct"/>
            <w:vAlign w:val="center"/>
          </w:tcPr>
          <w:p w14:paraId="1F2EB38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1</w:t>
            </w:r>
          </w:p>
        </w:tc>
        <w:tc>
          <w:tcPr>
            <w:tcW w:w="727" w:type="pct"/>
            <w:vAlign w:val="center"/>
          </w:tcPr>
          <w:p w14:paraId="7821C5F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评审咨询服务</w:t>
            </w:r>
          </w:p>
        </w:tc>
        <w:tc>
          <w:tcPr>
            <w:tcW w:w="1797" w:type="pct"/>
            <w:vAlign w:val="center"/>
          </w:tcPr>
          <w:p w14:paraId="7D04145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韶关市医疗保险第三方支付评审服务项目（2026—2028年）</w:t>
            </w:r>
          </w:p>
        </w:tc>
        <w:tc>
          <w:tcPr>
            <w:tcW w:w="383" w:type="pct"/>
            <w:vAlign w:val="center"/>
          </w:tcPr>
          <w:p w14:paraId="70E9D03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项</w:t>
            </w:r>
          </w:p>
        </w:tc>
        <w:tc>
          <w:tcPr>
            <w:tcW w:w="384" w:type="pct"/>
            <w:vAlign w:val="center"/>
          </w:tcPr>
          <w:p w14:paraId="6CAA98F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1.00</w:t>
            </w:r>
          </w:p>
        </w:tc>
        <w:tc>
          <w:tcPr>
            <w:tcW w:w="629" w:type="pct"/>
            <w:vAlign w:val="center"/>
          </w:tcPr>
          <w:p w14:paraId="685BC04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租赁和商务服务业</w:t>
            </w:r>
          </w:p>
        </w:tc>
        <w:tc>
          <w:tcPr>
            <w:tcW w:w="665" w:type="pct"/>
            <w:vAlign w:val="center"/>
          </w:tcPr>
          <w:p w14:paraId="05A9D7A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详见附表一</w:t>
            </w:r>
          </w:p>
        </w:tc>
      </w:tr>
    </w:tbl>
    <w:p w14:paraId="2BCBBC87">
      <w:pPr>
        <w:keepNext w:val="0"/>
        <w:keepLines w:val="0"/>
        <w:pageBreakBefore w:val="0"/>
        <w:widowControl/>
        <w:kinsoku/>
        <w:wordWrap/>
        <w:overflowPunct/>
        <w:topLinePunct w:val="0"/>
        <w:autoSpaceDE/>
        <w:autoSpaceDN/>
        <w:bidi w:val="0"/>
        <w:adjustRightInd/>
        <w:snapToGrid w:val="0"/>
        <w:spacing w:before="157" w:beforeLines="50" w:line="460" w:lineRule="exact"/>
        <w:textAlignment w:val="auto"/>
        <w:rPr>
          <w:rFonts w:hint="eastAsia" w:ascii="宋体" w:hAnsi="宋体" w:eastAsia="宋体" w:cs="宋体"/>
          <w:sz w:val="24"/>
          <w:szCs w:val="24"/>
          <w:lang w:val="en-US" w:eastAsia="zh-CN"/>
        </w:rPr>
      </w:pPr>
      <w:r>
        <w:rPr>
          <w:rFonts w:hint="eastAsia" w:ascii="宋体" w:hAnsi="宋体" w:eastAsia="宋体" w:cs="宋体"/>
          <w:b/>
          <w:sz w:val="24"/>
          <w:szCs w:val="24"/>
          <w:lang w:val="en-US" w:eastAsia="zh-Hans"/>
        </w:rPr>
        <w:t>附表一：</w:t>
      </w:r>
      <w:r>
        <w:rPr>
          <w:rFonts w:hint="eastAsia" w:ascii="宋体" w:hAnsi="宋体" w:eastAsia="宋体" w:cs="宋体"/>
          <w:b/>
          <w:sz w:val="24"/>
          <w:szCs w:val="24"/>
          <w:lang w:val="en-US" w:eastAsia="zh-CN"/>
        </w:rPr>
        <w:t>韶关市医疗保险第三方支付评审服务项目（2026—2028年）</w:t>
      </w:r>
    </w:p>
    <w:tbl>
      <w:tblPr>
        <w:tblStyle w:val="8"/>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2"/>
        <w:gridCol w:w="8734"/>
      </w:tblGrid>
      <w:tr w14:paraId="285C9E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748" w:hRule="atLeast"/>
        </w:trPr>
        <w:tc>
          <w:tcPr>
            <w:tcW w:w="406" w:type="pct"/>
            <w:vAlign w:val="center"/>
          </w:tcPr>
          <w:p w14:paraId="6F0E47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sz w:val="24"/>
                <w:szCs w:val="24"/>
                <w:lang w:val="en-US" w:eastAsia="zh-Hans"/>
              </w:rPr>
            </w:pPr>
            <w:r>
              <w:rPr>
                <w:rFonts w:hint="eastAsia" w:ascii="宋体" w:hAnsi="宋体" w:eastAsia="宋体" w:cs="宋体"/>
                <w:b/>
                <w:bCs/>
                <w:sz w:val="24"/>
                <w:szCs w:val="24"/>
                <w:lang w:val="en-US" w:eastAsia="zh-Hans"/>
              </w:rPr>
              <w:t>序号</w:t>
            </w:r>
          </w:p>
        </w:tc>
        <w:tc>
          <w:tcPr>
            <w:tcW w:w="4593" w:type="pct"/>
            <w:vAlign w:val="center"/>
          </w:tcPr>
          <w:p w14:paraId="311895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sz w:val="24"/>
                <w:szCs w:val="24"/>
                <w:lang w:val="en-US" w:eastAsia="zh-Hans"/>
              </w:rPr>
            </w:pPr>
            <w:r>
              <w:rPr>
                <w:rFonts w:hint="eastAsia" w:ascii="宋体" w:hAnsi="宋体" w:eastAsia="宋体" w:cs="宋体"/>
                <w:b/>
                <w:bCs/>
                <w:sz w:val="24"/>
                <w:szCs w:val="24"/>
                <w:lang w:val="en-US" w:eastAsia="zh-Hans"/>
              </w:rPr>
              <w:t>具体技术</w:t>
            </w:r>
            <w:r>
              <w:rPr>
                <w:rFonts w:hint="eastAsia" w:ascii="宋体" w:hAnsi="宋体" w:eastAsia="宋体" w:cs="宋体"/>
                <w:b/>
                <w:bCs/>
                <w:sz w:val="24"/>
                <w:szCs w:val="24"/>
                <w:lang w:val="en-US" w:eastAsia="zh-CN"/>
              </w:rPr>
              <w:t>（</w:t>
            </w:r>
            <w:r>
              <w:rPr>
                <w:rFonts w:hint="eastAsia" w:ascii="宋体" w:hAnsi="宋体" w:eastAsia="宋体" w:cs="宋体"/>
                <w:b/>
                <w:bCs/>
                <w:sz w:val="24"/>
                <w:szCs w:val="24"/>
                <w:lang w:val="en-US" w:eastAsia="zh-Hans"/>
              </w:rPr>
              <w:t>参数</w:t>
            </w:r>
            <w:r>
              <w:rPr>
                <w:rFonts w:hint="eastAsia" w:ascii="宋体" w:hAnsi="宋体" w:eastAsia="宋体" w:cs="宋体"/>
                <w:b/>
                <w:bCs/>
                <w:sz w:val="24"/>
                <w:szCs w:val="24"/>
                <w:lang w:val="en-US" w:eastAsia="zh-CN"/>
              </w:rPr>
              <w:t>）</w:t>
            </w:r>
            <w:r>
              <w:rPr>
                <w:rFonts w:hint="eastAsia" w:ascii="宋体" w:hAnsi="宋体" w:eastAsia="宋体" w:cs="宋体"/>
                <w:b/>
                <w:bCs/>
                <w:sz w:val="24"/>
                <w:szCs w:val="24"/>
                <w:lang w:val="en-US" w:eastAsia="zh-Hans"/>
              </w:rPr>
              <w:t>要求</w:t>
            </w:r>
          </w:p>
        </w:tc>
      </w:tr>
      <w:tr w14:paraId="5336B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46" w:hRule="atLeast"/>
        </w:trPr>
        <w:tc>
          <w:tcPr>
            <w:tcW w:w="406" w:type="pct"/>
            <w:vAlign w:val="center"/>
          </w:tcPr>
          <w:p w14:paraId="2D7709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593" w:type="pct"/>
            <w:vAlign w:val="center"/>
          </w:tcPr>
          <w:p w14:paraId="47C76178">
            <w:pPr>
              <w:pStyle w:val="18"/>
              <w:numPr>
                <w:ilvl w:val="0"/>
                <w:numId w:val="0"/>
              </w:numPr>
              <w:spacing w:line="360" w:lineRule="auto"/>
              <w:ind w:firstLine="48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一、服务内容</w:t>
            </w:r>
          </w:p>
          <w:p w14:paraId="47C76178">
            <w:pPr>
              <w:pStyle w:val="18"/>
              <w:numPr>
                <w:ilvl w:val="0"/>
                <w:numId w:val="0"/>
              </w:numPr>
              <w:spacing w:line="360" w:lineRule="auto"/>
              <w:ind w:firstLine="48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1.医疗保险智能监管</w:t>
            </w:r>
          </w:p>
          <w:p w14:paraId="47C76178">
            <w:pPr>
              <w:pStyle w:val="18"/>
              <w:numPr>
                <w:ilvl w:val="0"/>
                <w:numId w:val="0"/>
              </w:numPr>
              <w:spacing w:line="360" w:lineRule="auto"/>
              <w:ind w:firstLine="48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1.1.优化完善及维护智能审核规则库知识库等“两库”</w:t>
            </w:r>
          </w:p>
          <w:p w14:paraId="47C76178">
            <w:pPr>
              <w:pStyle w:val="18"/>
              <w:numPr>
                <w:ilvl w:val="0"/>
                <w:numId w:val="0"/>
              </w:num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照国家、省、市医保政策、医保支付、三大目录信息、疾病信息、诊疗常规、物价收费标准等基础数据，以及韶关本地个性化规则，做好国家医疗保障信息平台智能监管子系统有关智能审核相关模块维护工作，优化完善智能审核规则配置等，确保国家、省智能审核规则在我市正常运行。</w:t>
            </w:r>
          </w:p>
          <w:p w14:paraId="47C76178">
            <w:pPr>
              <w:pStyle w:val="18"/>
              <w:numPr>
                <w:ilvl w:val="0"/>
                <w:numId w:val="0"/>
              </w:numPr>
              <w:spacing w:line="360" w:lineRule="auto"/>
              <w:ind w:firstLine="48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1.2.实施医疗保险结算全量全覆盖审核服务</w:t>
            </w:r>
          </w:p>
          <w:p w14:paraId="47C76178">
            <w:pPr>
              <w:pStyle w:val="18"/>
              <w:numPr>
                <w:ilvl w:val="0"/>
                <w:numId w:val="0"/>
              </w:num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利用国家医疗保障信息平台智能监管子系统，根据国家级和省级定制的规则以及本地个性化规则，遵照规定的审核流程和时间，每月对上月发生的参保患者所有（包括本地就医和异地就医）医保结算单据进行全面审核，根据每月审核结果做好分析统计及后续跟踪服务工作，按要求定期提交相应的报告给对应科室（中心）存档。对医疗机构争议较大（如高倍率病例）或大量出现的同类问题，及时进行问题汇总，提出相关处理意见和建议，并协助做好相关评审等工作。按工作需要，协助开展对定点医药机构及医保工作人员培训工作。 </w:t>
            </w:r>
          </w:p>
          <w:p w14:paraId="47C76178">
            <w:pPr>
              <w:pStyle w:val="18"/>
              <w:numPr>
                <w:ilvl w:val="0"/>
                <w:numId w:val="0"/>
              </w:numPr>
              <w:spacing w:line="360" w:lineRule="auto"/>
              <w:ind w:firstLine="48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1.3.确保事前提醒、事中审核、事后监管功能落地应用</w:t>
            </w:r>
          </w:p>
          <w:p w14:paraId="47C76178">
            <w:pPr>
              <w:pStyle w:val="18"/>
              <w:numPr>
                <w:ilvl w:val="0"/>
                <w:numId w:val="0"/>
              </w:num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配合做好应用规则的遴选、优化和验证工作，提供事前提醒、事中审核模块中现有监管规则的明细，对规则进行解释说明，结合系统功能指导定点医药机构测试使用。对事前提醒、事中审核功能模块的运行状况及医药机构端使用状况进行密切监控，持续验证运行数据的准确性，优化使用体验，对试运行情况做评估分析，确保事前提醒、事中审核、事后监管功能落地应用。</w:t>
            </w:r>
          </w:p>
          <w:p w14:paraId="47C76178">
            <w:pPr>
              <w:pStyle w:val="18"/>
              <w:numPr>
                <w:ilvl w:val="0"/>
                <w:numId w:val="0"/>
              </w:numPr>
              <w:spacing w:line="360" w:lineRule="auto"/>
              <w:ind w:firstLine="48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2.现场检查支持服务</w:t>
            </w:r>
          </w:p>
          <w:p w14:paraId="47C76178">
            <w:pPr>
              <w:pStyle w:val="18"/>
              <w:numPr>
                <w:ilvl w:val="0"/>
                <w:numId w:val="0"/>
              </w:numPr>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市、县医保基金监管的工作需要，协助开展定点医药机构现场检查。根据国家、省飞行检查等医保基金监管专项检查的工作需要，协助开展定点医药机构现场检查，提供具备医药、财务、信息化等相关专业背景的专家团队完成服务。</w:t>
            </w:r>
          </w:p>
          <w:p w14:paraId="47C76178">
            <w:pPr>
              <w:pStyle w:val="18"/>
              <w:numPr>
                <w:ilvl w:val="0"/>
                <w:numId w:val="0"/>
              </w:numPr>
              <w:spacing w:line="360" w:lineRule="auto"/>
              <w:ind w:firstLine="48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3.医保数据分析服务</w:t>
            </w:r>
          </w:p>
          <w:p w14:paraId="0527E866">
            <w:pPr>
              <w:pStyle w:val="18"/>
              <w:numPr>
                <w:ilvl w:val="0"/>
                <w:numId w:val="0"/>
              </w:numPr>
              <w:spacing w:line="360" w:lineRule="auto"/>
              <w:ind w:firstLine="48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3.1常态化对医保信息数据进行分析和复核，对医疗单据信息进行专业筛选和分析，生成违规数据及疑点信息，为医保部门在对定点医药机构监管、各项审计以及案件办理等过程中提供数据分析支持服务。协助开展病种分值库建设及调整等工作。</w:t>
            </w:r>
          </w:p>
          <w:p w14:paraId="47C76178">
            <w:pPr>
              <w:pStyle w:val="18"/>
              <w:numPr>
                <w:ilvl w:val="0"/>
                <w:numId w:val="0"/>
              </w:numPr>
              <w:spacing w:line="360" w:lineRule="auto"/>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3.2</w:t>
            </w:r>
            <w:r>
              <w:rPr>
                <w:rFonts w:hint="eastAsia" w:ascii="宋体" w:hAnsi="宋体" w:eastAsia="宋体" w:cs="宋体"/>
                <w:color w:val="auto"/>
                <w:sz w:val="24"/>
                <w:szCs w:val="24"/>
                <w:highlight w:val="none"/>
                <w:lang w:val="en-US" w:eastAsia="zh-CN" w:bidi="ar-SA"/>
              </w:rPr>
              <w:t>提供药品医用耗材采购数据分析和医疗服务价格管理方面的支持。</w:t>
            </w:r>
          </w:p>
          <w:p w14:paraId="6F2B8B63">
            <w:pPr>
              <w:pStyle w:val="18"/>
              <w:numPr>
                <w:ilvl w:val="0"/>
                <w:numId w:val="0"/>
              </w:numPr>
              <w:spacing w:line="360" w:lineRule="auto"/>
              <w:ind w:firstLine="48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3.3按季度提供全市医保基金运行分析报告。</w:t>
            </w:r>
          </w:p>
        </w:tc>
      </w:tr>
    </w:tbl>
    <w:p w14:paraId="30E43B50">
      <w:pPr>
        <w:keepNext w:val="0"/>
        <w:keepLines w:val="0"/>
        <w:pageBreakBefore w:val="0"/>
        <w:widowControl/>
        <w:numPr>
          <w:ilvl w:val="0"/>
          <w:numId w:val="0"/>
        </w:numPr>
        <w:shd w:val="clear"/>
        <w:kinsoku/>
        <w:wordWrap/>
        <w:overflowPunct/>
        <w:topLinePunct w:val="0"/>
        <w:autoSpaceDE/>
        <w:autoSpaceDN/>
        <w:bidi w:val="0"/>
        <w:adjustRightInd/>
        <w:snapToGrid w:val="0"/>
        <w:spacing w:line="240" w:lineRule="auto"/>
        <w:ind w:left="720" w:leftChars="0" w:hanging="720" w:firstLineChars="0"/>
        <w:jc w:val="left"/>
        <w:textAlignment w:val="auto"/>
        <w:rPr>
          <w:rFonts w:hint="eastAsia" w:ascii="宋体" w:hAnsi="宋体" w:eastAsia="宋体" w:cs="宋体"/>
          <w:b/>
          <w:bCs/>
          <w:color w:val="auto"/>
          <w:kern w:val="0"/>
          <w:sz w:val="36"/>
          <w:szCs w:val="36"/>
          <w:lang w:val="en-US" w:eastAsia="zh-CN" w:bidi="ar-SA"/>
        </w:rPr>
      </w:pPr>
    </w:p>
    <w:p w14:paraId="00B92F81">
      <w:pPr>
        <w:keepNext w:val="0"/>
        <w:keepLines w:val="0"/>
        <w:pageBreakBefore w:val="0"/>
        <w:widowControl/>
        <w:numPr>
          <w:ilvl w:val="0"/>
          <w:numId w:val="0"/>
        </w:numPr>
        <w:suppressLineNumbers w:val="0"/>
        <w:shd w:val="clear"/>
        <w:kinsoku/>
        <w:wordWrap/>
        <w:overflowPunct/>
        <w:topLinePunct w:val="0"/>
        <w:autoSpaceDE/>
        <w:autoSpaceDN/>
        <w:bidi w:val="0"/>
        <w:adjustRightInd/>
        <w:snapToGrid w:val="0"/>
        <w:spacing w:after="157" w:afterLines="50" w:line="520" w:lineRule="exact"/>
        <w:jc w:val="left"/>
        <w:textAlignment w:val="auto"/>
        <w:rPr>
          <w:rFonts w:hint="eastAsia" w:ascii="宋体" w:hAnsi="宋体" w:eastAsia="宋体" w:cs="宋体"/>
          <w:b/>
          <w:bCs/>
          <w:i w:val="0"/>
          <w:iCs w:val="0"/>
          <w:caps w:val="0"/>
          <w:color w:val="auto"/>
          <w:spacing w:val="0"/>
          <w:kern w:val="0"/>
          <w:sz w:val="28"/>
          <w:szCs w:val="28"/>
          <w:shd w:val="clear" w:fill="auto"/>
          <w:lang w:val="en-US" w:eastAsia="zh-CN" w:bidi="ar"/>
        </w:rPr>
      </w:pPr>
      <w:r>
        <w:rPr>
          <w:rFonts w:hint="eastAsia" w:ascii="宋体" w:hAnsi="宋体" w:eastAsia="宋体" w:cs="宋体"/>
          <w:b/>
          <w:bCs/>
          <w:i w:val="0"/>
          <w:iCs w:val="0"/>
          <w:caps w:val="0"/>
          <w:color w:val="auto"/>
          <w:spacing w:val="0"/>
          <w:kern w:val="0"/>
          <w:sz w:val="28"/>
          <w:szCs w:val="28"/>
          <w:shd w:val="clear" w:fill="auto"/>
          <w:lang w:val="en-US" w:eastAsia="zh-CN" w:bidi="ar"/>
        </w:rPr>
        <w:t>三、商务要求</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57"/>
        <w:gridCol w:w="8257"/>
      </w:tblGrid>
      <w:tr w14:paraId="3ED340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63" w:hRule="atLeast"/>
        </w:trPr>
        <w:tc>
          <w:tcPr>
            <w:tcW w:w="660" w:type="pct"/>
            <w:vAlign w:val="center"/>
          </w:tcPr>
          <w:p w14:paraId="7D21E0D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服务期</w:t>
            </w:r>
          </w:p>
        </w:tc>
        <w:tc>
          <w:tcPr>
            <w:tcW w:w="4339" w:type="pct"/>
            <w:vAlign w:val="center"/>
          </w:tcPr>
          <w:p w14:paraId="379B7C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2026年1月1日至2028年12月31日，共36个月（主要是指按要求完成2026年1月1日至2028年12月31日期间内发生的所有医疗保险业务审核等相关全部工作，并经验收合格后才能撤离）。</w:t>
            </w:r>
          </w:p>
        </w:tc>
      </w:tr>
      <w:tr w14:paraId="475CA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660" w:type="pct"/>
            <w:vAlign w:val="center"/>
          </w:tcPr>
          <w:p w14:paraId="5765A57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4"/>
                <w:szCs w:val="24"/>
                <w:lang w:val="en-US" w:eastAsia="zh-Han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服务</w:t>
            </w:r>
            <w:r>
              <w:rPr>
                <w:rFonts w:hint="eastAsia" w:ascii="宋体" w:hAnsi="宋体" w:eastAsia="宋体" w:cs="宋体"/>
                <w:color w:val="000000" w:themeColor="text1"/>
                <w:sz w:val="24"/>
                <w:szCs w:val="24"/>
                <w:lang w:val="en-US" w:eastAsia="zh-Hans"/>
                <w14:textFill>
                  <w14:solidFill>
                    <w14:schemeClr w14:val="tx1"/>
                  </w14:solidFill>
                </w14:textFill>
              </w:rPr>
              <w:t>地点</w:t>
            </w:r>
          </w:p>
        </w:tc>
        <w:tc>
          <w:tcPr>
            <w:tcW w:w="4339" w:type="pct"/>
            <w:vAlign w:val="center"/>
          </w:tcPr>
          <w:p w14:paraId="2D7899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韶关市医疗保障局</w:t>
            </w:r>
          </w:p>
        </w:tc>
      </w:tr>
      <w:tr w14:paraId="6870E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660" w:type="pct"/>
            <w:vAlign w:val="center"/>
          </w:tcPr>
          <w:p w14:paraId="359797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付款方式</w:t>
            </w:r>
          </w:p>
        </w:tc>
        <w:tc>
          <w:tcPr>
            <w:tcW w:w="4339" w:type="pct"/>
            <w:vAlign w:val="center"/>
          </w:tcPr>
          <w:p w14:paraId="38CA689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leftChars="0" w:right="0" w:rightChars="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1.</w:t>
            </w:r>
            <w:r>
              <w:rPr>
                <w:rFonts w:hint="eastAsia" w:ascii="宋体" w:hAnsi="宋体" w:eastAsia="宋体" w:cs="宋体"/>
                <w:b/>
                <w:bCs/>
                <w:color w:val="auto"/>
                <w:sz w:val="24"/>
                <w:szCs w:val="24"/>
                <w:lang w:val="en-US" w:eastAsia="zh-CN"/>
              </w:rPr>
              <w:t>付款原则</w:t>
            </w:r>
          </w:p>
          <w:p w14:paraId="054A66C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项目款项支付遵循“合同约定、考核挂钩、分期支付”原则，付款金额与服务考核直接关联，考核合格后方可按约定比例支付对应款项；考核不合格的，按考核结果相应扣减付款金额（考核标准详见“考核指标及评分”）。</w:t>
            </w:r>
          </w:p>
          <w:p w14:paraId="6733707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（2）本项目服务期3年，每年支付基数=合同总金额÷3。</w:t>
            </w:r>
          </w:p>
          <w:p w14:paraId="1D76EF3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2.分期支付</w:t>
            </w:r>
          </w:p>
          <w:p w14:paraId="46BAC9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第1期：合同签订后20个工作日内，采购人向中标人支付当年支付基数的30%作为预付款。</w:t>
            </w:r>
          </w:p>
          <w:p w14:paraId="4CE20E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第2期：支付比例为当年支付基数的20%，通过2026年上半年服务考核后20个工作日内，采购人根据考核结果向中标人支付服务费用。</w:t>
            </w:r>
          </w:p>
          <w:p w14:paraId="774493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第3期：支付比例为当年支付基数的50%，通过2026年下半年服务考核后20个工作日内，采购人根据考核结果向中标人支付服务费用。</w:t>
            </w:r>
          </w:p>
          <w:p w14:paraId="2638C46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第4期：支付比例为当年支付基数的50%，通过2027年上半年服务考核后20个工作日内，采购人根据考核结果向中标人支付服务费用。</w:t>
            </w:r>
          </w:p>
          <w:p w14:paraId="225921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第5期：支付比例为当年支付基数的50%，通过2027年下半年服务考核后20个工作日内，采购人根据考核结果向中标人支付服务费用。</w:t>
            </w:r>
          </w:p>
          <w:p w14:paraId="0920A7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第6期：支付比例为当年支付基数的50%，通过2028年上半年服务考核后20个工作日内，采购人根据考核结果向中标人支付服务费用。</w:t>
            </w:r>
          </w:p>
          <w:p w14:paraId="6164AA0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第7期：支付比例为当年支付基数的50%，完成项目所有服务内容并通过服务考核后20个工作日内，采购人根据考核结果向中标人支付服务费用。</w:t>
            </w:r>
          </w:p>
          <w:p w14:paraId="3CBB6C2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20" w:lineRule="exact"/>
              <w:ind w:left="0" w:right="0" w:rightChars="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3.</w:t>
            </w:r>
            <w:r>
              <w:rPr>
                <w:rFonts w:hint="eastAsia" w:ascii="宋体" w:hAnsi="宋体" w:eastAsia="宋体" w:cs="宋体"/>
                <w:b/>
                <w:bCs/>
                <w:color w:val="auto"/>
                <w:sz w:val="24"/>
                <w:szCs w:val="24"/>
                <w:lang w:val="en-US" w:eastAsia="zh-CN"/>
              </w:rPr>
              <w:t>付款资料要求</w:t>
            </w:r>
          </w:p>
          <w:p w14:paraId="2981C4E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中标人申请每笔款项时，需向采购人提交以下资料，资料齐全且审核通过后启动付款流程：</w:t>
            </w:r>
          </w:p>
          <w:p w14:paraId="22B229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（1）付款申请书（注明项目名称、合同编号、付款阶段、申请金额、考核结果等信息，加盖中标人公章）；</w:t>
            </w:r>
          </w:p>
          <w:p w14:paraId="0B36A9B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（2）等额有效发票（发票抬头、金额、项目名称等信息需与合同约定一致）；</w:t>
            </w:r>
          </w:p>
          <w:p w14:paraId="066A01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（3）当期服务考核报告（含采购人公章）。</w:t>
            </w:r>
          </w:p>
        </w:tc>
      </w:tr>
      <w:tr w14:paraId="11A75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660" w:type="pct"/>
            <w:vAlign w:val="center"/>
          </w:tcPr>
          <w:p w14:paraId="1A9487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验收要求</w:t>
            </w:r>
          </w:p>
        </w:tc>
        <w:tc>
          <w:tcPr>
            <w:tcW w:w="4339" w:type="pct"/>
            <w:vAlign w:val="center"/>
          </w:tcPr>
          <w:p w14:paraId="11E5B39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1.验收主体</w:t>
            </w:r>
          </w:p>
          <w:p w14:paraId="4763F7E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由采购人对中标人的服务进行考核验收。</w:t>
            </w:r>
          </w:p>
          <w:p w14:paraId="7175A4F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2.验收时间</w:t>
            </w:r>
          </w:p>
          <w:p w14:paraId="2ED2BB1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每半年服务期满后完成当期服务验收与考核。</w:t>
            </w:r>
          </w:p>
          <w:p w14:paraId="5801F50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3.验收方式</w:t>
            </w:r>
          </w:p>
          <w:p w14:paraId="1C17FA2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按“考核指标及评分”进行考核验收。</w:t>
            </w:r>
          </w:p>
          <w:p w14:paraId="3609D1B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4.验收程序</w:t>
            </w:r>
          </w:p>
          <w:p w14:paraId="106F843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采购人按照验收内容及标准定期开展考核验收工作，若存在扣分项，中标人需在10个工作日内完成整改。</w:t>
            </w:r>
          </w:p>
          <w:p w14:paraId="4B6AA71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5.验收内容</w:t>
            </w:r>
          </w:p>
          <w:p w14:paraId="62B6DA2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按照考核表、采购合同、招标文件和投标文件的相关内容进行验收。</w:t>
            </w:r>
          </w:p>
          <w:p w14:paraId="075823F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6.验收标准</w:t>
            </w:r>
          </w:p>
          <w:p w14:paraId="1797221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符合采购合同、招标文件的规定，遵循国家及地方的相关行业标准和规范。</w:t>
            </w:r>
          </w:p>
          <w:p w14:paraId="48EEF58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7.考核指标及评分</w:t>
            </w:r>
          </w:p>
          <w:p w14:paraId="781CCDC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按采购人制定的考核指标及评分执行。</w:t>
            </w:r>
          </w:p>
        </w:tc>
      </w:tr>
      <w:tr w14:paraId="4A2B4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660" w:type="pct"/>
            <w:vAlign w:val="center"/>
          </w:tcPr>
          <w:p w14:paraId="0B420F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履约保证金</w:t>
            </w:r>
          </w:p>
        </w:tc>
        <w:tc>
          <w:tcPr>
            <w:tcW w:w="4339" w:type="pct"/>
            <w:vAlign w:val="center"/>
          </w:tcPr>
          <w:p w14:paraId="1C73D3FF">
            <w:pPr>
              <w:keepNext w:val="0"/>
              <w:keepLines w:val="0"/>
              <w:pageBreakBefore w:val="0"/>
              <w:widowControl/>
              <w:numPr>
                <w:ilvl w:val="0"/>
                <w:numId w:val="0"/>
              </w:numPr>
              <w:suppressLineNumbers w:val="0"/>
              <w:kinsoku/>
              <w:wordWrap w:val="0"/>
              <w:overflowPunct/>
              <w:topLinePunct/>
              <w:autoSpaceDE/>
              <w:autoSpaceDN/>
              <w:bidi w:val="0"/>
              <w:adjustRightInd/>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1.交纳比例：合同总金额的8%</w:t>
            </w:r>
          </w:p>
          <w:p w14:paraId="422E89DA">
            <w:pPr>
              <w:keepNext w:val="0"/>
              <w:keepLines w:val="0"/>
              <w:pageBreakBefore w:val="0"/>
              <w:widowControl/>
              <w:numPr>
                <w:ilvl w:val="0"/>
                <w:numId w:val="0"/>
              </w:numPr>
              <w:suppressLineNumbers w:val="0"/>
              <w:kinsoku/>
              <w:wordWrap w:val="0"/>
              <w:overflowPunct/>
              <w:topLinePunct/>
              <w:autoSpaceDE/>
              <w:autoSpaceDN/>
              <w:bidi w:val="0"/>
              <w:adjustRightInd/>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2.缴费渠道：转账、支票、汇票、本票、保函等形式。</w:t>
            </w:r>
          </w:p>
          <w:p w14:paraId="5B5AE9EB">
            <w:pPr>
              <w:keepNext w:val="0"/>
              <w:keepLines w:val="0"/>
              <w:pageBreakBefore w:val="0"/>
              <w:widowControl/>
              <w:numPr>
                <w:ilvl w:val="0"/>
                <w:numId w:val="0"/>
              </w:numPr>
              <w:suppressLineNumbers w:val="0"/>
              <w:kinsoku/>
              <w:wordWrap w:val="0"/>
              <w:overflowPunct/>
              <w:topLinePunct/>
              <w:autoSpaceDE/>
              <w:autoSpaceDN/>
              <w:bidi w:val="0"/>
              <w:adjustRightInd/>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3.时间要求：中标人在合同签订后10个工作日内，按采购人要求交纳履约保证金。项目服务期截止并经验收合格后，根据中标人的书面申请，采购人将在30天内无息退还。</w:t>
            </w:r>
          </w:p>
          <w:p w14:paraId="290B21BB">
            <w:pPr>
              <w:keepNext w:val="0"/>
              <w:keepLines w:val="0"/>
              <w:pageBreakBefore w:val="0"/>
              <w:widowControl/>
              <w:numPr>
                <w:ilvl w:val="0"/>
                <w:numId w:val="0"/>
              </w:numPr>
              <w:suppressLineNumbers w:val="0"/>
              <w:kinsoku/>
              <w:wordWrap w:val="0"/>
              <w:overflowPunct/>
              <w:topLinePunct/>
              <w:autoSpaceDE/>
              <w:autoSpaceDN/>
              <w:bidi w:val="0"/>
              <w:adjustRightInd/>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4.履约保证金扣除：若中标人在合同履行期间发生违约行为或出现以下情形，履约保证金不予退还。若履约保证金不足以抵扣违约金和采购人实际经济损失的，采购人有权就不足部分向中标人进一步追偿。</w:t>
            </w:r>
          </w:p>
          <w:p w14:paraId="19295933">
            <w:pPr>
              <w:keepNext w:val="0"/>
              <w:keepLines w:val="0"/>
              <w:pageBreakBefore w:val="0"/>
              <w:widowControl/>
              <w:numPr>
                <w:ilvl w:val="0"/>
                <w:numId w:val="0"/>
              </w:numPr>
              <w:suppressLineNumbers w:val="0"/>
              <w:kinsoku/>
              <w:wordWrap w:val="0"/>
              <w:overflowPunct/>
              <w:topLinePunct/>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（1）未与所有服务人员签订保密协议，或因管理不当导致医保数据（含参保人信息、结算单据、审核规则等）泄露、损坏、丢失的；</w:t>
            </w:r>
          </w:p>
          <w:p w14:paraId="768D2CD4">
            <w:pPr>
              <w:keepNext w:val="0"/>
              <w:keepLines w:val="0"/>
              <w:pageBreakBefore w:val="0"/>
              <w:widowControl/>
              <w:numPr>
                <w:ilvl w:val="0"/>
                <w:numId w:val="0"/>
              </w:numPr>
              <w:suppressLineNumbers w:val="0"/>
              <w:kinsoku/>
              <w:wordWrap w:val="0"/>
              <w:overflowPunct/>
              <w:topLinePunct/>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（2）擅自使用、复制、转让项目产生的无形资产、数据成果或知识产权，或将其用于本项目外其他用途的；</w:t>
            </w:r>
          </w:p>
          <w:p w14:paraId="01417978">
            <w:pPr>
              <w:keepNext w:val="0"/>
              <w:keepLines w:val="0"/>
              <w:pageBreakBefore w:val="0"/>
              <w:widowControl/>
              <w:numPr>
                <w:ilvl w:val="0"/>
                <w:numId w:val="0"/>
              </w:numPr>
              <w:suppressLineNumbers w:val="0"/>
              <w:kinsoku/>
              <w:wordWrap w:val="0"/>
              <w:overflowPunct/>
              <w:topLinePunct/>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（3）未遵守医保部门数据安全管理规定，拒绝配合数据安全检查，或未按要求建立数据安全防护体系的；</w:t>
            </w:r>
          </w:p>
          <w:p w14:paraId="766371DC">
            <w:pPr>
              <w:keepNext w:val="0"/>
              <w:keepLines w:val="0"/>
              <w:pageBreakBefore w:val="0"/>
              <w:widowControl/>
              <w:numPr>
                <w:ilvl w:val="0"/>
                <w:numId w:val="0"/>
              </w:numPr>
              <w:suppressLineNumbers w:val="0"/>
              <w:kinsoku/>
              <w:wordWrap w:val="0"/>
              <w:overflowPunct/>
              <w:topLinePunct/>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（4）未经采购人书面同意，擅自将项目分包、转包给第三方机构，或委托利益关联方参与服务的；</w:t>
            </w:r>
          </w:p>
          <w:p w14:paraId="2A3CC10A">
            <w:pPr>
              <w:keepNext w:val="0"/>
              <w:keepLines w:val="0"/>
              <w:pageBreakBefore w:val="0"/>
              <w:widowControl/>
              <w:numPr>
                <w:ilvl w:val="0"/>
                <w:numId w:val="0"/>
              </w:numPr>
              <w:suppressLineNumbers w:val="0"/>
              <w:kinsoku/>
              <w:wordWrap w:val="0"/>
              <w:overflowPunct/>
              <w:topLinePunct/>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（5）服务期内擅自撤离常驻评审团队，或中断服务超过3个工作日（不可抗力除外），导致审核、监管工作停滞的；</w:t>
            </w:r>
          </w:p>
          <w:p w14:paraId="159FFFFF">
            <w:pPr>
              <w:keepNext w:val="0"/>
              <w:keepLines w:val="0"/>
              <w:pageBreakBefore w:val="0"/>
              <w:widowControl/>
              <w:numPr>
                <w:ilvl w:val="0"/>
                <w:numId w:val="0"/>
              </w:numPr>
              <w:suppressLineNumbers w:val="0"/>
              <w:kinsoku/>
              <w:wordWrap w:val="0"/>
              <w:overflowPunct/>
              <w:topLinePunct/>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（6）拒绝配合采购人开展不定期复审工作，或复审发现存在系统性审核造假（如故意篡改审核结果、伪造报告数据等）的。</w:t>
            </w:r>
          </w:p>
          <w:p w14:paraId="27577F29">
            <w:pPr>
              <w:keepNext w:val="0"/>
              <w:keepLines w:val="0"/>
              <w:pageBreakBefore w:val="0"/>
              <w:widowControl/>
              <w:numPr>
                <w:ilvl w:val="0"/>
                <w:numId w:val="0"/>
              </w:numPr>
              <w:suppressLineNumbers w:val="0"/>
              <w:kinsoku/>
              <w:wordWrap w:val="0"/>
              <w:overflowPunct/>
              <w:topLinePunct/>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（7）服务期满后未将项目实施中所产生的无形资产、相关数据、知识产权及其成果等移交韶关市医疗保障局。</w:t>
            </w:r>
          </w:p>
        </w:tc>
      </w:tr>
      <w:tr w14:paraId="302C3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660" w:type="pct"/>
            <w:vAlign w:val="center"/>
          </w:tcPr>
          <w:p w14:paraId="3FA5395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人员资质配备及工作要求</w:t>
            </w:r>
          </w:p>
        </w:tc>
        <w:tc>
          <w:tcPr>
            <w:tcW w:w="4339" w:type="pct"/>
            <w:vAlign w:val="center"/>
          </w:tcPr>
          <w:p w14:paraId="155B0A8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1.供应商必须有相应资质、信誉良好，拥有开展本项目所必需的专业人员，既往有承担类似项目的成功经验。供应商须为独立的第三方服务机构，不得与</w:t>
            </w:r>
            <w:r>
              <w:rPr>
                <w:rFonts w:hint="eastAsia" w:ascii="宋体" w:hAnsi="宋体" w:eastAsia="宋体" w:cs="宋体"/>
                <w:color w:val="auto"/>
                <w:sz w:val="24"/>
                <w:szCs w:val="24"/>
                <w:highlight w:val="none"/>
                <w:lang w:val="en-US" w:eastAsia="zh-CN"/>
              </w:rPr>
              <w:t>医保部门存在利益相关的商业保险机构、医疗机构、医药生产（经营）企业存在隶属或管理关系，行为独立，责任自负。参与的供应商应独立运营项目。</w:t>
            </w:r>
          </w:p>
          <w:p w14:paraId="5E99FE8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成立韶关医保评审组（以下简称“评审组”），评审组下设若干工作专班，专职负责各专项工作，评审组配备一支具备丰富项目经验、具有高度责任心、严格自律的服务团队，工作人员须热爱医疗保险服务事业，熟悉国家、省、韶关市相关的医保政策，具备开展医保审核、专项检查、飞行检查等方面的素质与经验。评审组成员不得少于9人，且应为医学类、药学类、计算机、财务（会计）类等核心专业人员，并具有本科及以上学历和常驻韶关办公，由采购方统一管理；其中：项目负责人必须为核心专业，且具有三年以上相关管理工作经验；评审组其他工作人员中医学类专业人员不得少于3人（其中临床医学专业不得少于2人）、药学类专业人员不得少于1人、计算机类专业人员不得少于2人、财务（会计）类专业人员不得少于1人，人员配置随医保第三方支付评审服务的推进逐步调整。</w:t>
            </w:r>
          </w:p>
          <w:p w14:paraId="7DC01D0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应商应当严格按照采购文件要求和投标文件响应情况，配备足够数量且满足项目需求的持有相关证件的专业人员，中标人应当确保相关资质证书在服务期间保持有效性，定期进行审核和更新，确保人员资质始终符合要求。</w:t>
            </w:r>
          </w:p>
          <w:p w14:paraId="7980860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供应商与采购人签订合同时，应提供拟派人员的身份证及专业证书复印件以备案。合同签订后，未经采购人书面同意，中标人不得更换人员。若因特殊情况确需更换人员，新更换人员的资质等级、专业能力不应低于原投标文件约定的标准并同步更新备案材料。</w:t>
            </w:r>
          </w:p>
          <w:p w14:paraId="2710297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5.服务人员在采购人指定地点办公，供应商应根据项目需求配置充足的办公设备、网络设备等，如办公用电脑、服务器、路由器、交换机、网线等。</w:t>
            </w:r>
          </w:p>
          <w:p w14:paraId="46613D2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6.供应商须以审核准确、高效为原则，在各审核环节做好与协议医药机构的沟通工作，依托系统的便捷性，定点医药机构将可疑医保结算单据须在系统进行反馈。</w:t>
            </w:r>
          </w:p>
          <w:p w14:paraId="0F9FA63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7.供应商须根据韶关市医疗保险政策的调整，及时完善审核规则，保证审核结果的准确性。在审核过程中发现医疗机构上传的基础数据有问题时，应及时通知医保主管部门及经办机构，通知医药机构进行纠正。</w:t>
            </w:r>
          </w:p>
          <w:p w14:paraId="241AFF5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根据业务情况，供应商须有计划性地提供相关的培训服务。培训内容包括审核规则的业务培训、软件操作的技术培训等。让医药机构熟悉和了解相关规程，也让县（市、区）的医保局、医保经办机构工作人员了解相关的配套设施。</w:t>
            </w:r>
          </w:p>
          <w:p w14:paraId="2883BEA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9.供应商所提供的各项服务工作必须服从医保部门对数据安全的管理要求，遵循信息安全的统一管理规定，确保辅助审核服务所涉及的数据安全，防止数据的损坏、丢失。供应商及其工作人员须签订保密协议。</w:t>
            </w:r>
          </w:p>
          <w:p w14:paraId="307FC2F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10.在项目实施中所产生的无形资产、相关数据、知识产权及其成果等均归韶关市医疗保障局所有。</w:t>
            </w:r>
          </w:p>
        </w:tc>
      </w:tr>
      <w:tr w14:paraId="22F59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79" w:hRule="atLeast"/>
        </w:trPr>
        <w:tc>
          <w:tcPr>
            <w:tcW w:w="660" w:type="pct"/>
            <w:vAlign w:val="center"/>
          </w:tcPr>
          <w:p w14:paraId="5A9121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不可抗力</w:t>
            </w:r>
          </w:p>
        </w:tc>
        <w:tc>
          <w:tcPr>
            <w:tcW w:w="4339" w:type="pct"/>
            <w:vAlign w:val="center"/>
          </w:tcPr>
          <w:p w14:paraId="2184DD1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由于国家、省医保政策调整等不可抗力因素，导致本项目服务期限和支付条件发生变更等事项，由双方协商解决。</w:t>
            </w:r>
          </w:p>
        </w:tc>
      </w:tr>
    </w:tbl>
    <w:p w14:paraId="045F8B79">
      <w:pPr>
        <w:rPr>
          <w:rFonts w:hint="eastAsia" w:ascii="宋体" w:hAnsi="宋体" w:eastAsia="宋体" w:cs="宋体"/>
          <w:b w:val="0"/>
          <w:bCs w:val="0"/>
          <w:i w:val="0"/>
          <w:iCs w:val="0"/>
          <w:caps w:val="0"/>
          <w:color w:val="auto"/>
          <w:spacing w:val="23"/>
          <w:kern w:val="0"/>
          <w:sz w:val="24"/>
          <w:szCs w:val="24"/>
          <w:shd w:val="clear" w:color="auto" w:fill="auto"/>
          <w:lang w:val="en-US" w:eastAsia="zh-CN" w:bidi="ar"/>
        </w:rPr>
      </w:pPr>
    </w:p>
    <w:sectPr>
      <w:footerReference r:id="rId3" w:type="default"/>
      <w:pgSz w:w="11906" w:h="16838"/>
      <w:pgMar w:top="1304" w:right="1304" w:bottom="1304" w:left="130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9B04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83061">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7883061">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hOTY0ZDFlMGVlZTAxNjkzOWY1MzYxNWE5MmUwNDgifQ=="/>
  </w:docVars>
  <w:rsids>
    <w:rsidRoot w:val="00000000"/>
    <w:rsid w:val="0187402D"/>
    <w:rsid w:val="05634CE7"/>
    <w:rsid w:val="06F2019A"/>
    <w:rsid w:val="07051E94"/>
    <w:rsid w:val="07823ABC"/>
    <w:rsid w:val="08EB6C4F"/>
    <w:rsid w:val="09BF4B21"/>
    <w:rsid w:val="0A1E4E03"/>
    <w:rsid w:val="0F855BBA"/>
    <w:rsid w:val="10297316"/>
    <w:rsid w:val="131455ED"/>
    <w:rsid w:val="15D475DD"/>
    <w:rsid w:val="17C2495F"/>
    <w:rsid w:val="17C4348D"/>
    <w:rsid w:val="186B0C4B"/>
    <w:rsid w:val="188152C4"/>
    <w:rsid w:val="1CDB78E3"/>
    <w:rsid w:val="1DA91271"/>
    <w:rsid w:val="1F6B29D2"/>
    <w:rsid w:val="25457A94"/>
    <w:rsid w:val="29344A59"/>
    <w:rsid w:val="2C446081"/>
    <w:rsid w:val="2C6E72DC"/>
    <w:rsid w:val="2D3C111C"/>
    <w:rsid w:val="2DCE1625"/>
    <w:rsid w:val="2E021ADD"/>
    <w:rsid w:val="313A09A2"/>
    <w:rsid w:val="32312DAF"/>
    <w:rsid w:val="33162750"/>
    <w:rsid w:val="341231BB"/>
    <w:rsid w:val="36437CF1"/>
    <w:rsid w:val="3CDD7D70"/>
    <w:rsid w:val="407057C5"/>
    <w:rsid w:val="40F5451B"/>
    <w:rsid w:val="494213B0"/>
    <w:rsid w:val="4E555EE6"/>
    <w:rsid w:val="4F7E0975"/>
    <w:rsid w:val="547D3033"/>
    <w:rsid w:val="55554950"/>
    <w:rsid w:val="580E5A83"/>
    <w:rsid w:val="5ABB4C37"/>
    <w:rsid w:val="5F571ABE"/>
    <w:rsid w:val="5F9A19AB"/>
    <w:rsid w:val="5FCB28FE"/>
    <w:rsid w:val="60536B1B"/>
    <w:rsid w:val="608C668E"/>
    <w:rsid w:val="654E2D7F"/>
    <w:rsid w:val="65CE4801"/>
    <w:rsid w:val="680E225A"/>
    <w:rsid w:val="680F31D6"/>
    <w:rsid w:val="68C14435"/>
    <w:rsid w:val="69557D54"/>
    <w:rsid w:val="6A2674F0"/>
    <w:rsid w:val="6B120F8F"/>
    <w:rsid w:val="6B89244B"/>
    <w:rsid w:val="6C413DF1"/>
    <w:rsid w:val="6CDD03E1"/>
    <w:rsid w:val="6D1D4308"/>
    <w:rsid w:val="6D244CCF"/>
    <w:rsid w:val="6D6655C2"/>
    <w:rsid w:val="6EB475DC"/>
    <w:rsid w:val="76966F18"/>
    <w:rsid w:val="783C5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qFormat/>
    <w:uiPriority w:val="0"/>
    <w:pPr>
      <w:spacing w:line="360" w:lineRule="auto"/>
    </w:pPr>
    <w:rPr>
      <w:szCs w:val="20"/>
    </w:rPr>
  </w:style>
  <w:style w:type="paragraph" w:styleId="4">
    <w:name w:val="Body Text Indent 2"/>
    <w:basedOn w:val="1"/>
    <w:next w:val="1"/>
    <w:qFormat/>
    <w:uiPriority w:val="0"/>
    <w:pPr>
      <w:widowControl w:val="0"/>
      <w:spacing w:line="360" w:lineRule="auto"/>
      <w:ind w:firstLine="540" w:firstLineChars="225"/>
      <w:jc w:val="both"/>
    </w:pPr>
    <w:rPr>
      <w:rFonts w:hAnsi="宋体"/>
      <w:color w:val="000000"/>
      <w:kern w:val="2"/>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99"/>
    <w:pPr>
      <w:jc w:val="left"/>
    </w:pPr>
    <w:rPr>
      <w:rFonts w:ascii="仿宋_GB2312" w:hAnsi="宋体" w:eastAsia="仿宋_GB2312"/>
    </w:rPr>
  </w:style>
  <w:style w:type="character" w:styleId="10">
    <w:name w:val="Strong"/>
    <w:basedOn w:val="9"/>
    <w:qFormat/>
    <w:uiPriority w:val="0"/>
    <w:rPr>
      <w:b/>
    </w:rPr>
  </w:style>
  <w:style w:type="character" w:customStyle="1" w:styleId="11">
    <w:name w:val="font71"/>
    <w:basedOn w:val="9"/>
    <w:qFormat/>
    <w:uiPriority w:val="0"/>
    <w:rPr>
      <w:rFonts w:hint="eastAsia" w:ascii="宋体" w:hAnsi="宋体" w:eastAsia="宋体" w:cs="宋体"/>
      <w:color w:val="FF0000"/>
      <w:sz w:val="28"/>
      <w:szCs w:val="28"/>
      <w:u w:val="none"/>
    </w:rPr>
  </w:style>
  <w:style w:type="character" w:customStyle="1" w:styleId="12">
    <w:name w:val="font61"/>
    <w:basedOn w:val="9"/>
    <w:qFormat/>
    <w:uiPriority w:val="0"/>
    <w:rPr>
      <w:rFonts w:hint="eastAsia" w:ascii="宋体" w:hAnsi="宋体" w:eastAsia="宋体" w:cs="宋体"/>
      <w:color w:val="000000"/>
      <w:sz w:val="28"/>
      <w:szCs w:val="28"/>
      <w:u w:val="none"/>
    </w:rPr>
  </w:style>
  <w:style w:type="character" w:customStyle="1" w:styleId="13">
    <w:name w:val="font131"/>
    <w:basedOn w:val="9"/>
    <w:qFormat/>
    <w:uiPriority w:val="0"/>
    <w:rPr>
      <w:rFonts w:hint="eastAsia" w:ascii="宋体" w:hAnsi="宋体" w:eastAsia="宋体" w:cs="宋体"/>
      <w:color w:val="FF0000"/>
      <w:sz w:val="28"/>
      <w:szCs w:val="28"/>
      <w:u w:val="none"/>
      <w:vertAlign w:val="superscript"/>
    </w:rPr>
  </w:style>
  <w:style w:type="character" w:customStyle="1" w:styleId="14">
    <w:name w:val="font141"/>
    <w:basedOn w:val="9"/>
    <w:qFormat/>
    <w:uiPriority w:val="0"/>
    <w:rPr>
      <w:rFonts w:hint="eastAsia" w:ascii="宋体" w:hAnsi="宋体" w:eastAsia="宋体" w:cs="宋体"/>
      <w:color w:val="000000"/>
      <w:sz w:val="28"/>
      <w:szCs w:val="28"/>
      <w:u w:val="none"/>
      <w:vertAlign w:val="superscript"/>
    </w:rPr>
  </w:style>
  <w:style w:type="character" w:customStyle="1" w:styleId="15">
    <w:name w:val="font112"/>
    <w:basedOn w:val="9"/>
    <w:qFormat/>
    <w:uiPriority w:val="0"/>
    <w:rPr>
      <w:rFonts w:hint="eastAsia" w:ascii="宋体" w:hAnsi="宋体" w:eastAsia="宋体" w:cs="宋体"/>
      <w:color w:val="000000"/>
      <w:sz w:val="28"/>
      <w:szCs w:val="28"/>
      <w:u w:val="none"/>
    </w:rPr>
  </w:style>
  <w:style w:type="character" w:customStyle="1" w:styleId="16">
    <w:name w:val="font121"/>
    <w:basedOn w:val="9"/>
    <w:qFormat/>
    <w:uiPriority w:val="0"/>
    <w:rPr>
      <w:rFonts w:hint="default" w:ascii="Calibri" w:hAnsi="Calibri" w:cs="Calibri"/>
      <w:color w:val="000000"/>
      <w:sz w:val="28"/>
      <w:szCs w:val="28"/>
      <w:u w:val="none"/>
    </w:rPr>
  </w:style>
  <w:style w:type="paragraph" w:customStyle="1" w:styleId="17">
    <w:name w:val="正文正"/>
    <w:basedOn w:val="1"/>
    <w:qFormat/>
    <w:uiPriority w:val="0"/>
    <w:pPr>
      <w:spacing w:line="560" w:lineRule="exact"/>
      <w:ind w:firstLine="561"/>
    </w:pPr>
    <w:rPr>
      <w:rFonts w:ascii="Calibri" w:hAnsi="Calibri" w:eastAsia="仿宋_GB2312"/>
      <w:kern w:val="2"/>
      <w:sz w:val="28"/>
    </w:rPr>
  </w:style>
  <w:style w:type="paragraph" w:customStyle="1" w:styleId="18">
    <w:name w:val="内容"/>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054bda27-1a46-4840-91f0-a2be6009b61c</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5897288D</paraID>
      <start>3</start>
      <end>10</end>
      <status>ignored</status>
      <modifiedWord/>
      <trackRevisions>false</trackRevisions>
    </reviewItem>
    <reviewItem>
      <errorID>d39d787c-05c0-4120-8ba1-d7066b26c6bb</errorID>
      <errorWord>经验</errorWord>
      <group>L1_Word</group>
      <groupName>字词问题</groupName>
      <ability>L2_Typo</ability>
      <abilityName>字词错误</abilityName>
      <candidateList>
        <item>验</item>
      </candidateList>
      <explain/>
      <paraID>5B5AE9EB</paraID>
      <start>46</start>
      <end>48</end>
      <status>ignored</status>
      <modifiedWord/>
      <trackRevisions>false</trackRevisions>
    </reviewItem>
    <reviewItem>
      <errorID>8fa3e44b-a437-44b4-90e2-b90a5c338f88</errorID>
      <errorWord>。</errorWord>
      <group>L1_Punc</group>
      <groupName>标点问题</groupName>
      <ability>L2_Punc</ability>
      <abilityName>标点符号检查</abilityName>
      <candidateList>
        <item/>
      </candidateList>
      <explain>标题文本后不使用标点符号。</explain>
      <paraID>290B21BB</paraID>
      <start>44</start>
      <end>45</end>
      <status>ignored</status>
      <modifiedWord/>
      <trackRevisions>false</trackRevisions>
    </reviewItem>
    <reviewItem>
      <errorID>923433fa-5059-4fe0-aeb1-8e10825d3417</errorID>
      <errorWord>。</errorWord>
      <group>L1_Punc</group>
      <groupName>标点问题</groupName>
      <ability>L2_Punc</ability>
      <abilityName>标点符号检查</abilityName>
      <candidateList>
        <item/>
      </candidateList>
      <explain>标题文本后不使用标点符号。</explain>
      <paraID>155B0A8A</paraID>
      <start>48</start>
      <end>49</end>
      <status>ignored</status>
      <modifiedWord/>
      <trackRevisions>false</trackRevisions>
    </reviewItem>
    <reviewItem>
      <errorID>d4cc01c0-ed9d-4c00-95a6-9b86fb8e7f16</errorID>
      <errorWord>。</errorWord>
      <group>L1_Punc</group>
      <groupName>标点问题</groupName>
      <ability>L2_Punc</ability>
      <abilityName>标点符号检查</abilityName>
      <candidateList>
        <item/>
      </candidateList>
      <explain>标题文本后不使用标点符号。</explain>
      <paraID>241AFF5F</paraID>
      <start>27</start>
      <end>28</end>
      <status>ignored</status>
      <modifiedWord/>
      <trackRevisions>false</trackRevisions>
    </reviewItem>
    <reviewItem>
      <errorID>231f200d-892f-49eb-9490-6168db06f378</errorID>
      <errorWord>。</errorWord>
      <group>L1_Punc</group>
      <groupName>标点问题</groupName>
      <ability>L2_Punc</ability>
      <abilityName>标点符号检查</abilityName>
      <candidateList>
        <item/>
      </candidateList>
      <explain>标题文本后不使用标点符号。</explain>
      <paraID>307FC2F3</paraID>
      <start>44</start>
      <end>45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52055b-146d-435d-9280-b45810c7d61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1796</Words>
  <Characters>1873</Characters>
  <Lines>0</Lines>
  <Paragraphs>0</Paragraphs>
  <TotalTime>136</TotalTime>
  <ScaleCrop>false</ScaleCrop>
  <LinksUpToDate>false</LinksUpToDate>
  <CharactersWithSpaces>1874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2024-07-26T08:38:00Z</dcterms:created>
  <dc:creator>6</dc:creator>
  <cp:lastModifiedBy>得米仔</cp:lastModifiedBy>
  <cp:lastPrinted>2025-12-09T02:08:14Z</cp:lastPrinted>
  <dcterms:modified xsi:type="dcterms:W3CDTF">2025-12-09T02:32:29Z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B7765B83083D47D79B0E10D14AA835DA_13</vt:lpwstr>
  </property>
  <property fmtid="{D5CDD505-2E9C-101B-9397-08002B2CF9AE}" pid="4" name="KSOTemplateDocerSaveRecord">
    <vt:lpwstr>eyJoZGlkIjoiMzVmNTNmNTAzZGFlZWI2NjcyNjIzMmFiODQwMDVlOTgiLCJ1c2VySWQiOiIyNTU1MDM2OTkifQ==</vt:lpwstr>
  </property>
</Properties>
</file>